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widowControl w:val="0"/>
        <w:spacing w:line="1" w:lineRule="exac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652780</wp:posOffset>
            </wp:positionH>
            <wp:positionV relativeFrom="paragraph">
              <wp:posOffset>12700</wp:posOffset>
            </wp:positionV>
            <wp:extent cx="1810385" cy="64643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0"/>
        <w:jc w:val="left"/>
      </w:pPr>
      <w:r>
        <w:rPr>
          <w:rStyle w:val="Bodytext1"/>
          <w:b/>
          <w:bCs/>
          <w:rtl w:val="0"/>
          <w:lang w:val="en" w:eastAsia="en-US" w:bidi="en-US"/>
        </w:rPr>
        <w:t>XVII Gomel Economic Forum – 2023</w:t>
      </w:r>
    </w:p>
    <w:p>
      <w:pPr>
        <w:pStyle w:val="Tablecaption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4"/>
          <w:szCs w:val="34"/>
        </w:rPr>
      </w:pPr>
      <w:r>
        <w:rPr>
          <w:rStyle w:val="Tablecaption1"/>
          <w:b/>
          <w:bCs/>
          <w:color w:val="008000"/>
          <w:sz w:val="34"/>
          <w:szCs w:val="34"/>
          <w:rtl w:val="0"/>
          <w:lang w:val="en"/>
        </w:rPr>
        <w:t>SECTION No. 3</w:t>
      </w:r>
    </w:p>
    <w:p>
      <w:pPr>
        <w:pStyle w:val="Tablecaption10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  <w:rPr>
          <w:sz w:val="34"/>
          <w:szCs w:val="34"/>
        </w:rPr>
      </w:pPr>
      <w:r>
        <w:rPr>
          <w:rStyle w:val="Tablecaption1"/>
          <w:b/>
          <w:bCs/>
          <w:color w:val="008000"/>
          <w:sz w:val="34"/>
          <w:szCs w:val="34"/>
          <w:rtl w:val="0"/>
          <w:lang w:val="en"/>
        </w:rPr>
        <w:t>"Small and medium business"</w:t>
      </w:r>
    </w:p>
    <w:p>
      <w:pPr>
        <w:pStyle w:val="Tablecaption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Tablecaption1"/>
          <w:i/>
          <w:iCs/>
          <w:rtl w:val="0"/>
          <w:lang w:val="en"/>
        </w:rPr>
        <w:t>business center of FEZ "Gomel-Raton", Gomel, Fedyuninsky str., 17</w:t>
      </w:r>
    </w:p>
    <w:p>
      <w:pPr>
        <w:pStyle w:val="Tablecaption10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  <w:rPr>
          <w:sz w:val="34"/>
          <w:szCs w:val="34"/>
        </w:rPr>
      </w:pPr>
      <w:r>
        <w:rPr>
          <w:rStyle w:val="Tablecaption1"/>
          <w:b/>
          <w:bCs/>
          <w:color w:val="008000"/>
          <w:sz w:val="34"/>
          <w:szCs w:val="34"/>
          <w:rtl w:val="0"/>
          <w:lang w:val="en"/>
        </w:rPr>
        <w:t>Program</w:t>
      </w:r>
    </w:p>
    <w:p>
      <w:pPr>
        <w:pStyle w:val="Tablecaption10"/>
        <w:keepNext w:val="0"/>
        <w:keepLines w:val="0"/>
        <w:widowControl w:val="0"/>
        <w:pBdr>
          <w:top w:val="single" w:sz="0" w:space="0" w:color="008001"/>
          <w:left w:val="single" w:sz="0" w:space="0" w:color="008001"/>
          <w:bottom w:val="single" w:sz="0" w:space="0" w:color="008001"/>
          <w:right w:val="single" w:sz="0" w:space="0" w:color="008001"/>
        </w:pBdr>
        <w:shd w:val="clear" w:color="auto" w:fill="008001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rStyle w:val="Tablecaption1"/>
          <w:b/>
          <w:bCs/>
          <w:color w:val="FFFFFF"/>
          <w:sz w:val="28"/>
          <w:szCs w:val="28"/>
          <w:rtl w:val="0"/>
          <w:lang w:val="en" w:eastAsia="en-US" w:bidi="en-US"/>
        </w:rPr>
        <w:t>21.09.2023</w:t>
      </w:r>
    </w:p>
    <w:tbl>
      <w:tblPr>
        <w:tblOverlap w:val="never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6"/>
        <w:gridCol w:w="9278"/>
      </w:tblGrid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10"/>
          <w:jc w:val="center"/>
        </w:trPr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14.00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14.30</w:t>
            </w:r>
          </w:p>
        </w:tc>
        <w:tc>
          <w:tcPr>
            <w:tcW w:w="9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Registration of participants of the section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tabs>
                <w:tab w:val="left" w:pos="827"/>
              </w:tabs>
              <w:bidi w:val="0"/>
              <w:spacing w:before="0" w:after="0" w:line="204" w:lineRule="auto"/>
              <w:ind w:left="0" w:right="0" w:firstLine="40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9</w:t>
              <w:tab/>
            </w:r>
            <w:r>
              <w:rPr>
                <w:rStyle w:val="Other1"/>
                <w:i/>
                <w:iCs/>
                <w:color w:val="5C9A5C"/>
                <w:sz w:val="24"/>
                <w:szCs w:val="24"/>
                <w:rtl w:val="0"/>
                <w:lang w:val="en"/>
              </w:rPr>
              <w:t>business center of FEZ "Gomel-Raton", Gomel, Fedyuninsky str., 17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12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top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14.30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14.40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Introductory speech by Antonina Yezhova,</w:t>
            </w:r>
            <w:r>
              <w:rPr>
                <w:rStyle w:val="Other1"/>
                <w:i/>
                <w:iCs/>
                <w:rtl w:val="0"/>
                <w:lang w:val="en"/>
              </w:rPr>
              <w:t xml:space="preserve"> Chairman of the Standing Committee on Economy, Budget, Finance and Communal Property of the Gomel Regional Council of Deputies, Head of the Administration of the Gomel-Raton Free Economic Zone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40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top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14.40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16.00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80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Performances: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400" w:right="0" w:hanging="24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Support of cooperative interaction between small and medium-sized businesses and large industrial enterprises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780" w:right="0" w:firstLine="0"/>
              <w:jc w:val="left"/>
            </w:pPr>
            <w:r>
              <w:rPr>
                <w:rStyle w:val="Other1"/>
                <w:b/>
                <w:bCs/>
                <w:i/>
                <w:iCs/>
                <w:rtl w:val="0"/>
                <w:lang w:val="en"/>
              </w:rPr>
              <w:t>Olga V. Rusinovich</w:t>
            </w:r>
            <w:r>
              <w:rPr>
                <w:rStyle w:val="Other1"/>
                <w:i/>
                <w:iCs/>
                <w:rtl w:val="0"/>
                <w:lang w:val="en"/>
              </w:rPr>
              <w:t>, Director of the Entrepreneurship Department of the Ministry of Economy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60"/>
              <w:ind w:left="0" w:right="0" w:firstLine="780"/>
              <w:jc w:val="left"/>
            </w:pPr>
            <w:r>
              <w:rPr>
                <w:rStyle w:val="Other1"/>
                <w:i/>
                <w:iCs/>
                <w:rtl w:val="0"/>
                <w:lang w:val="en"/>
              </w:rPr>
              <w:t>Republic of Belarus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941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  <w:shd w:val="clear" w:color="auto" w:fill="auto"/>
            <w:vAlign w:val="top"/>
          </w:tcPr>
          <w:p/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780" w:right="0" w:hanging="62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On rendering assistance to production cooperation</w:t>
            </w:r>
            <w:r>
              <w:rPr>
                <w:rStyle w:val="Other1"/>
                <w:b/>
                <w:bCs/>
                <w:i/>
                <w:iCs/>
                <w:rtl w:val="0"/>
                <w:lang w:val="en"/>
              </w:rPr>
              <w:t xml:space="preserve"> Pyotr Arushanyants </w:t>
            </w:r>
            <w:r>
              <w:rPr>
                <w:rStyle w:val="Other1"/>
                <w:i/>
                <w:iCs/>
                <w:rtl w:val="0"/>
                <w:lang w:val="en"/>
              </w:rPr>
              <w:t>, General Director of the Belarusian Fund for Financial Support of Entrepreneurs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234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  <w:shd w:val="clear" w:color="auto" w:fill="auto"/>
            <w:vAlign w:val="top"/>
          </w:tcPr>
          <w:p/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400" w:right="0" w:hanging="24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On the experience of production cooperation of JSC "Gomselmash" with small and medium-sized businesses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780" w:right="0" w:firstLine="0"/>
              <w:jc w:val="left"/>
            </w:pPr>
            <w:r>
              <w:rPr>
                <w:rStyle w:val="Other1"/>
                <w:b/>
                <w:bCs/>
                <w:i/>
                <w:iCs/>
                <w:rtl w:val="0"/>
                <w:lang w:val="en"/>
              </w:rPr>
              <w:t xml:space="preserve">Viktor Pinchuk </w:t>
            </w:r>
            <w:r>
              <w:rPr>
                <w:rStyle w:val="Other1"/>
                <w:i/>
                <w:iCs/>
                <w:rtl w:val="0"/>
                <w:lang w:val="en"/>
              </w:rPr>
              <w:t>, Deputy General Director for Technical Issues - Chief Engineer of JSC Gomselmash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20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  <w:shd w:val="clear" w:color="auto" w:fill="auto"/>
            <w:vAlign w:val="top"/>
          </w:tcPr>
          <w:p/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11" w:lineRule="auto"/>
              <w:ind w:left="400" w:right="0" w:hanging="24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Ecosystem of JSC "Belagroprombank" – opportunities for business development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780" w:right="0" w:firstLine="0"/>
              <w:jc w:val="left"/>
            </w:pPr>
            <w:r>
              <w:rPr>
                <w:rStyle w:val="Other1"/>
                <w:b/>
                <w:bCs/>
                <w:i/>
                <w:iCs/>
                <w:rtl w:val="0"/>
                <w:lang w:val="en"/>
              </w:rPr>
              <w:t>Sergey Rublevsky</w:t>
            </w:r>
            <w:r>
              <w:rPr>
                <w:rStyle w:val="Other1"/>
                <w:i/>
                <w:iCs/>
                <w:rtl w:val="0"/>
                <w:lang w:val="en"/>
              </w:rPr>
              <w:t>, Manager of the Ecosystem Development Department of JSC "Belagroprombank"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200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  <w:shd w:val="clear" w:color="auto" w:fill="auto"/>
            <w:vAlign w:val="top"/>
          </w:tcPr>
          <w:p/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Innovative technologies in small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40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and medium-sized businesses management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780" w:right="0" w:firstLine="0"/>
              <w:jc w:val="left"/>
            </w:pPr>
            <w:r>
              <w:rPr>
                <w:rStyle w:val="Other1"/>
                <w:b/>
                <w:bCs/>
                <w:i/>
                <w:iCs/>
                <w:rtl w:val="0"/>
                <w:lang w:val="en"/>
              </w:rPr>
              <w:t>Anna Yaskova</w:t>
            </w:r>
            <w:r>
              <w:rPr>
                <w:rStyle w:val="Other1"/>
                <w:i/>
                <w:iCs/>
                <w:rtl w:val="0"/>
                <w:lang w:val="en"/>
              </w:rPr>
              <w:t>, Deputy Director of LLC "Bukhpodderzhka"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459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  <w:shd w:val="clear" w:color="auto" w:fill="auto"/>
            <w:vAlign w:val="top"/>
          </w:tcPr>
          <w:p/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400" w:right="0" w:hanging="240"/>
              <w:jc w:val="left"/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•</w:t>
            </w:r>
            <w:r>
              <w:rPr>
                <w:rStyle w:val="Other1"/>
                <w:b/>
                <w:bCs/>
                <w:rtl w:val="0"/>
                <w:lang w:val="en"/>
              </w:rPr>
              <w:t xml:space="preserve"> Effective management of an entrepreneur, partnership of business, government and NGO "Belarusian Union of Women"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780" w:right="0" w:firstLine="0"/>
              <w:jc w:val="left"/>
            </w:pPr>
            <w:r>
              <w:rPr>
                <w:rStyle w:val="Other1"/>
                <w:b/>
                <w:bCs/>
                <w:i/>
                <w:iCs/>
                <w:rtl w:val="0"/>
                <w:lang w:val="en"/>
              </w:rPr>
              <w:t>Irina Trusevich</w:t>
            </w:r>
            <w:r>
              <w:rPr>
                <w:rStyle w:val="Other1"/>
                <w:i/>
                <w:iCs/>
                <w:rtl w:val="0"/>
                <w:lang w:val="en"/>
              </w:rPr>
              <w:t>, Candidate of Economic Sciences, Associate Professor, Head of the business community "Academy of Business", Chairman of the business wing of the BUW Gomel region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0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16.00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16.30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sz w:val="24"/>
                <w:szCs w:val="24"/>
                <w:rtl w:val="0"/>
                <w:lang w:val="en"/>
              </w:rPr>
              <w:t>Round table, exchange of views, discussion</w:t>
            </w:r>
          </w:p>
        </w:tc>
      </w:tr>
      <w:tr>
        <w:tblPrEx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97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16.30 –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rStyle w:val="Other1"/>
                <w:rtl w:val="0"/>
                <w:lang w:val="en" w:eastAsia="en-US" w:bidi="en-US"/>
              </w:rPr>
              <w:t>19.00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11" w:lineRule="auto"/>
              <w:ind w:left="0" w:right="0" w:firstLine="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Relocation and visiting of the exhibitions section by the participants: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30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Scientific and technical achievements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tabs>
                <w:tab w:val="left" w:pos="1000"/>
              </w:tabs>
              <w:bidi w:val="0"/>
              <w:spacing w:before="0" w:after="80" w:line="211" w:lineRule="auto"/>
              <w:ind w:left="0" w:right="0" w:firstLine="58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9</w:t>
              <w:tab/>
            </w:r>
            <w:r>
              <w:rPr>
                <w:rStyle w:val="Other1"/>
                <w:i/>
                <w:iCs/>
                <w:color w:val="5C9A5C"/>
                <w:sz w:val="24"/>
                <w:szCs w:val="24"/>
                <w:rtl w:val="0"/>
                <w:lang w:val="en"/>
              </w:rPr>
              <w:t>Technopark "Coral", Gomel, Lepeshinsky str., 9b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300"/>
              <w:jc w:val="left"/>
            </w:pPr>
            <w:r>
              <w:rPr>
                <w:rStyle w:val="Other1"/>
                <w:b/>
                <w:bCs/>
                <w:rtl w:val="0"/>
                <w:lang w:val="en"/>
              </w:rPr>
              <w:t>PromStroyAgro</w:t>
            </w:r>
          </w:p>
          <w:p>
            <w:pPr>
              <w:pStyle w:val="Other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18" w:lineRule="auto"/>
              <w:ind w:left="580" w:right="0" w:firstLine="20"/>
              <w:jc w:val="left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color w:val="008000"/>
                <w:rtl w:val="0"/>
                <w:lang w:val="en" w:eastAsia="en-US" w:bidi="en-US"/>
              </w:rPr>
              <w:t>9</w:t>
            </w:r>
            <w:r>
              <w:rPr>
                <w:rStyle w:val="Other1"/>
                <w:i/>
                <w:iCs/>
                <w:color w:val="5C9A5C"/>
                <w:sz w:val="24"/>
                <w:szCs w:val="24"/>
                <w:rtl w:val="0"/>
                <w:lang w:val="en"/>
              </w:rPr>
              <w:t xml:space="preserve"> Gomel Regional Philharmonic (HC "Railway workers"), Gomel, Privokzalinaia square, 4</w:t>
            </w:r>
          </w:p>
        </w:tc>
      </w:tr>
    </w:tbl>
    <w:p>
      <w:pPr>
        <w:pStyle w:val="Tablecaption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  <w:rPr>
          <w:sz w:val="20"/>
          <w:szCs w:val="20"/>
        </w:rPr>
      </w:pPr>
      <w:r>
        <w:rPr>
          <w:rStyle w:val="Tablecaption1"/>
          <w:i/>
          <w:iCs/>
          <w:color w:val="595959"/>
          <w:sz w:val="20"/>
          <w:szCs w:val="20"/>
          <w:rtl w:val="0"/>
          <w:lang w:val="en"/>
        </w:rPr>
        <w:t>The program can be adjusted by the Organizing Committee of the Forum</w:t>
      </w:r>
    </w:p>
    <w:sectPr>
      <w:pgSz w:w="11900" w:h="16840"/>
      <w:pgMar w:top="562" w:right="471" w:bottom="324" w:left="975" w:header="134" w:footer="3" w:gutter="0"/>
      <w:pgNumType w:start="1"/>
      <w:cols w:space="720"/>
      <w:noEndnote/>
      <w:rtlGutter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/>
      <w:bCs/>
      <w:i w:val="0"/>
      <w:iCs w:val="0"/>
      <w:smallCaps w:val="0"/>
      <w:strike w:val="0"/>
      <w:color w:val="008000"/>
      <w:sz w:val="44"/>
      <w:szCs w:val="44"/>
      <w:u w:val="none"/>
    </w:rPr>
  </w:style>
  <w:style w:type="character" w:customStyle="1" w:styleId="Tablecaption1">
    <w:name w:val="Table caption|1_"/>
    <w:basedOn w:val="DefaultParagraphFont"/>
    <w:link w:val="Tablecaption10"/>
    <w:rPr>
      <w:rFonts w:ascii="Arial" w:eastAsia="Arial" w:hAnsi="Arial" w:cs="Arial"/>
      <w:bCs w:val="0"/>
      <w:i/>
      <w:iCs/>
      <w:smallCaps w:val="0"/>
      <w:strike w:val="0"/>
      <w:color w:val="5C9A5C"/>
      <w:u w:val="none"/>
    </w:rPr>
  </w:style>
  <w:style w:type="character" w:customStyle="1" w:styleId="Other1">
    <w:name w:val="Other|1_"/>
    <w:basedOn w:val="DefaultParagraphFont"/>
    <w:link w:val="Other10"/>
    <w:rPr>
      <w:rFonts w:ascii="Arial" w:eastAsia="Arial" w:hAnsi="Arial" w:cs="Arial"/>
      <w:bCs w:val="0"/>
      <w:i/>
      <w:iCs/>
      <w:smallCaps w:val="0"/>
      <w:strike w:val="0"/>
      <w:sz w:val="26"/>
      <w:szCs w:val="26"/>
      <w:u w:val="none"/>
    </w:rPr>
  </w:style>
  <w:style w:type="paragraph" w:customStyle="1" w:styleId="Bodytext10">
    <w:name w:val="Body text|1"/>
    <w:basedOn w:val="Normal"/>
    <w:link w:val="Bodytext1"/>
    <w:pPr>
      <w:widowControl w:val="0"/>
      <w:shd w:val="clear" w:color="auto" w:fill="auto"/>
      <w:spacing w:after="340"/>
    </w:pPr>
    <w:rPr>
      <w:rFonts w:ascii="Arial" w:eastAsia="Arial" w:hAnsi="Arial" w:cs="Arial"/>
      <w:b/>
      <w:bCs/>
      <w:i w:val="0"/>
      <w:iCs w:val="0"/>
      <w:smallCaps w:val="0"/>
      <w:strike w:val="0"/>
      <w:color w:val="008000"/>
      <w:sz w:val="44"/>
      <w:szCs w:val="44"/>
      <w:u w:val="none"/>
    </w:rPr>
  </w:style>
  <w:style w:type="paragraph" w:customStyle="1" w:styleId="Tablecaption10">
    <w:name w:val="Table caption|1"/>
    <w:basedOn w:val="Normal"/>
    <w:link w:val="Tablecaption1"/>
    <w:pPr>
      <w:widowControl w:val="0"/>
      <w:shd w:val="clear" w:color="auto" w:fill="auto"/>
      <w:jc w:val="center"/>
    </w:pPr>
    <w:rPr>
      <w:rFonts w:ascii="Arial" w:eastAsia="Arial" w:hAnsi="Arial" w:cs="Arial"/>
      <w:bCs w:val="0"/>
      <w:i/>
      <w:iCs/>
      <w:smallCaps w:val="0"/>
      <w:strike w:val="0"/>
      <w:color w:val="5C9A5C"/>
      <w:u w:val="none"/>
    </w:rPr>
  </w:style>
  <w:style w:type="paragraph" w:customStyle="1" w:styleId="Other10">
    <w:name w:val="Other|1"/>
    <w:basedOn w:val="Normal"/>
    <w:link w:val="Other1"/>
    <w:pPr>
      <w:widowControl w:val="0"/>
      <w:shd w:val="clear" w:color="auto" w:fill="auto"/>
      <w:spacing w:line="209" w:lineRule="auto"/>
      <w:ind w:left="200"/>
    </w:pPr>
    <w:rPr>
      <w:rFonts w:ascii="Arial" w:eastAsia="Arial" w:hAnsi="Arial" w:cs="Arial"/>
      <w:bCs w:val="0"/>
      <w:i/>
      <w:iCs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sanko</dc:creator>
  <cp:revision>0</cp:revision>
</cp:coreProperties>
</file>