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widowControl w:val="0"/>
        <w:spacing w:line="1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12700</wp:posOffset>
            </wp:positionV>
            <wp:extent cx="1810385" cy="64643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3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Bodytext3"/>
          <w:b/>
          <w:bCs/>
          <w:rtl w:val="0"/>
          <w:lang w:val="en" w:eastAsia="en-US" w:bidi="en-US"/>
        </w:rPr>
        <w:t xml:space="preserve">XVII Gomel </w:t>
        <w:br/>
        <w:t>Economic Forum – 2023</w:t>
      </w:r>
    </w:p>
    <w:p>
      <w:pPr>
        <w:pStyle w:val="Bodytext20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0"/>
        <w:jc w:val="center"/>
      </w:pPr>
      <w:r>
        <w:rPr>
          <w:rStyle w:val="Bodytext2"/>
          <w:b/>
          <w:bCs/>
          <w:rtl w:val="0"/>
          <w:lang w:val="en"/>
        </w:rPr>
        <w:t xml:space="preserve">SECTION No. 2 </w:t>
        <w:br/>
        <w:t>"Tourism and social sphere"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Bodytext1"/>
          <w:i/>
          <w:iCs/>
          <w:rtl w:val="0"/>
          <w:lang w:val="en"/>
        </w:rPr>
        <w:t xml:space="preserve">Gomel Regional Philharmonic (HC "Railway workers"), </w:t>
        <w:br/>
        <w:t>Gomel, Privokzalinaia square, 4</w:t>
      </w:r>
    </w:p>
    <w:p>
      <w:pPr>
        <w:pStyle w:val="Bodytext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Style w:val="Bodytext2"/>
          <w:b/>
          <w:bCs/>
          <w:rtl w:val="0"/>
          <w:lang w:val="en"/>
        </w:rPr>
        <w:t>Program</w:t>
      </w:r>
    </w:p>
    <w:tbl>
      <w:tblPr>
        <w:tblOverlap w:val="never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5"/>
        <w:gridCol w:w="8947"/>
      </w:tblGrid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3"/>
          <w:jc w:val="center"/>
        </w:trPr>
        <w:tc>
          <w:tcPr>
            <w:tcW w:w="10262" w:type="dxa"/>
            <w:gridSpan w:val="2"/>
            <w:shd w:val="clear" w:color="auto" w:fill="008001"/>
            <w:vAlign w:val="center"/>
          </w:tcPr>
          <w:p>
            <w:pPr>
              <w:pStyle w:val="Other10"/>
              <w:keepNext w:val="0"/>
              <w:keepLines w:val="0"/>
              <w:widowControl w:val="0"/>
              <w:pBdr>
                <w:top w:val="single" w:sz="0" w:space="0" w:color="008001"/>
                <w:left w:val="single" w:sz="0" w:space="0" w:color="008001"/>
                <w:bottom w:val="single" w:sz="0" w:space="0" w:color="008001"/>
                <w:right w:val="single" w:sz="0" w:space="0" w:color="008001"/>
              </w:pBdr>
              <w:shd w:val="clear" w:color="auto" w:fill="008001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Other1"/>
                <w:b/>
                <w:bCs/>
                <w:color w:val="FFFFFF"/>
                <w:sz w:val="28"/>
                <w:szCs w:val="28"/>
                <w:rtl w:val="0"/>
                <w:lang w:val="en" w:eastAsia="en-US" w:bidi="en-US"/>
              </w:rPr>
              <w:t>21.09.2023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62"/>
          <w:jc w:val="center"/>
        </w:trPr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12.30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14.00</w:t>
            </w:r>
          </w:p>
        </w:tc>
        <w:tc>
          <w:tcPr>
            <w:tcW w:w="8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Centralized relocation of the participants of the plenary session of the forum to the venue of section No. 2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14.00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15.20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Registration of participants of section No. 2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7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14.00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15.20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Visit to the exhibition "PromStroyAgro" by forum participants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825"/>
              </w:tabs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Gomel Regional Philharmonic (HC "Railway workers"),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80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 xml:space="preserve">Gomel, Privokzalinaia square, </w:t>
            </w:r>
            <w:r>
              <w:rPr>
                <w:rStyle w:val="Other1"/>
                <w:i/>
                <w:iCs/>
                <w:color w:val="79AF79"/>
                <w:sz w:val="24"/>
                <w:szCs w:val="24"/>
                <w:rtl w:val="0"/>
                <w:lang w:val="en" w:eastAsia="en-US" w:bidi="en-US"/>
              </w:rPr>
              <w:t>4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17.00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Session of section No. 2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15.35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Opening speech by the Vice-Chairman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of Gomel Regional Executive Committee - Dmitry Aleynikov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82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15.35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09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15.55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15.55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06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16.10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16.10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06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16.25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16.25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rStyle w:val="Other1"/>
                <w:color w:val="EBEBEB"/>
                <w:rtl w:val="0"/>
                <w:lang w:val="en" w:eastAsia="en-US" w:bidi="en-US"/>
              </w:rPr>
              <w:t>16.40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09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Performances: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0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Tourism as a potential investment destination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0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Pavel Starosvetsky,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 xml:space="preserve"> Head of the Sports and Tourism Department of the Gomel Regional Executive Committee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16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700" w:right="0" w:hanging="2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Agroecotourism of Petrikov district as a potential investment direction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0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Svetlana Senko,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 xml:space="preserve"> Deputy Chairman of the Petrikov District Executive Committee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16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700" w:right="0" w:hanging="2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Investment potential of cultural and educational tourism of the Svetlogorsk district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70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Marina Grayusheva,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 xml:space="preserve"> Head of the Department of Ideological Work, Culture and Youth Affairs of the Svetlogorsk District Executive Committee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21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700" w:right="0" w:hanging="28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Investment potential of military-patriotic tourism on the example of the military-historical complex "Partizanskaya Krinichka"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70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i/>
                <w:iCs/>
                <w:sz w:val="24"/>
                <w:szCs w:val="24"/>
                <w:rtl w:val="0"/>
                <w:lang w:val="en"/>
              </w:rPr>
              <w:t>Artur Karchevsky,</w:t>
            </w:r>
            <w:r>
              <w:rPr>
                <w:rStyle w:val="Other1"/>
                <w:i/>
                <w:iCs/>
                <w:sz w:val="24"/>
                <w:szCs w:val="24"/>
                <w:rtl w:val="0"/>
                <w:lang w:val="en"/>
              </w:rPr>
              <w:t xml:space="preserve"> Director of the Gomel Regional Museum of Military Glory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16.40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17.00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Briefing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17.00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17.30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Centralized relocation of forum participants to the exhibition of scientific and technical achievements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3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17.30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</w:pPr>
            <w:r>
              <w:rPr>
                <w:rStyle w:val="Other1"/>
                <w:rtl w:val="0"/>
                <w:lang w:val="en" w:eastAsia="en-US" w:bidi="en-US"/>
              </w:rPr>
              <w:t>19.00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Exhibition of scientific and technical achievements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846"/>
              </w:tabs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Technopark "Coral", Gomel, Lepeshinsky str., 9b</w:t>
            </w:r>
          </w:p>
        </w:tc>
      </w:tr>
    </w:tbl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rStyle w:val="Tablecaption1"/>
          <w:i/>
          <w:iCs/>
          <w:rtl w:val="0"/>
          <w:lang w:val="en"/>
        </w:rPr>
        <w:t>The program can be adjusted by the Organizing Committee of the Forum</w:t>
      </w:r>
    </w:p>
    <w:sectPr>
      <w:pgSz w:w="11900" w:h="16840"/>
      <w:pgMar w:top="562" w:right="662" w:bottom="458" w:left="975" w:header="134" w:footer="30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34"/>
      <w:szCs w:val="34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character" w:customStyle="1" w:styleId="Tablecaption1">
    <w:name w:val="Table caption|1_"/>
    <w:basedOn w:val="DefaultParagraphFont"/>
    <w:link w:val="Tablecaption10"/>
    <w:rPr>
      <w:rFonts w:ascii="Arial" w:eastAsia="Arial" w:hAnsi="Arial" w:cs="Arial"/>
      <w:bCs w:val="0"/>
      <w:i/>
      <w:iCs/>
      <w:smallCaps w:val="0"/>
      <w:strike w:val="0"/>
      <w:color w:val="595959"/>
      <w:sz w:val="20"/>
      <w:szCs w:val="20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|3"/>
    <w:basedOn w:val="Normal"/>
    <w:link w:val="Bodytext3"/>
    <w:pPr>
      <w:widowControl w:val="0"/>
      <w:shd w:val="clear" w:color="auto" w:fill="auto"/>
      <w:spacing w:after="560" w:line="190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paragraph" w:customStyle="1" w:styleId="Bodytext20">
    <w:name w:val="Body text|2"/>
    <w:basedOn w:val="Normal"/>
    <w:link w:val="Bodytext2"/>
    <w:pPr>
      <w:widowControl w:val="0"/>
      <w:shd w:val="clear" w:color="auto" w:fill="auto"/>
      <w:spacing w:after="260" w:line="218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34"/>
      <w:szCs w:val="34"/>
      <w:u w:val="none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after="140" w:line="276" w:lineRule="auto"/>
      <w:jc w:val="center"/>
    </w:pPr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paragraph" w:customStyle="1" w:styleId="Tablecaption10">
    <w:name w:val="Table caption|1"/>
    <w:basedOn w:val="Normal"/>
    <w:link w:val="Tablecaption1"/>
    <w:pPr>
      <w:widowControl w:val="0"/>
      <w:shd w:val="clear" w:color="auto" w:fill="auto"/>
    </w:pPr>
    <w:rPr>
      <w:rFonts w:ascii="Arial" w:eastAsia="Arial" w:hAnsi="Arial" w:cs="Arial"/>
      <w:bCs w:val="0"/>
      <w:i/>
      <w:iCs/>
      <w:smallCaps w:val="0"/>
      <w:strike w:val="0"/>
      <w:color w:val="595959"/>
      <w:sz w:val="20"/>
      <w:szCs w:val="20"/>
      <w:u w:val="none"/>
    </w:rPr>
  </w:style>
  <w:style w:type="paragraph" w:customStyle="1" w:styleId="Other10">
    <w:name w:val="Other|1"/>
    <w:basedOn w:val="Normal"/>
    <w:link w:val="Other1"/>
    <w:pPr>
      <w:widowControl w:val="0"/>
      <w:shd w:val="clear" w:color="auto" w:fill="auto"/>
      <w:spacing w:line="22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sanko</dc:creator>
  <cp:revision>0</cp:revision>
</cp:coreProperties>
</file>